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令和　　　　</w:t>
      </w:r>
      <w:r>
        <w:rPr>
          <w:rFonts w:hint="eastAsia" w:ascii="UD デジタル 教科書体 NK-R" w:hAnsi="UD デジタル 教科書体 NK-R" w:eastAsia="UD デジタル 教科書体 NK-R"/>
        </w:rPr>
        <w:t xml:space="preserve"> </w:t>
      </w:r>
      <w:r>
        <w:rPr>
          <w:rFonts w:hint="eastAsia" w:ascii="UD デジタル 教科書体 NK-R" w:hAnsi="UD デジタル 教科書体 NK-R" w:eastAsia="UD デジタル 教科書体 NK-R"/>
        </w:rPr>
        <w:t>年　</w:t>
      </w:r>
      <w:r>
        <w:rPr>
          <w:rFonts w:hint="eastAsia" w:ascii="UD デジタル 教科書体 NK-R" w:hAnsi="UD デジタル 教科書体 NK-R" w:eastAsia="UD デジタル 教科書体 NK-R"/>
        </w:rPr>
        <w:t xml:space="preserve"> </w:t>
      </w:r>
      <w:r>
        <w:rPr>
          <w:rFonts w:hint="eastAsia" w:ascii="UD デジタル 教科書体 NK-R" w:hAnsi="UD デジタル 教科書体 NK-R" w:eastAsia="UD デジタル 教科書体 NK-R"/>
        </w:rPr>
        <w:t>　　月　　　</w:t>
      </w:r>
      <w:r>
        <w:rPr>
          <w:rFonts w:hint="eastAsia" w:ascii="UD デジタル 教科書体 NK-R" w:hAnsi="UD デジタル 教科書体 NK-R" w:eastAsia="UD デジタル 教科書体 NK-R"/>
        </w:rPr>
        <w:t xml:space="preserve"> </w:t>
      </w:r>
      <w:r>
        <w:rPr>
          <w:rFonts w:hint="eastAsia" w:ascii="UD デジタル 教科書体 NK-R" w:hAnsi="UD デジタル 教科書体 NK-R" w:eastAsia="UD デジタル 教科書体 NK-R"/>
        </w:rPr>
        <w:t>日</w:t>
      </w:r>
    </w:p>
    <w:p>
      <w:pPr>
        <w:pStyle w:val="0"/>
        <w:rPr>
          <w:rFonts w:hint="default" w:ascii="UD デジタル 教科書体 NK-R" w:hAnsi="UD デジタル 教科書体 NK-R" w:eastAsia="UD デジタル 教科書体 NK-R"/>
          <w:sz w:val="22"/>
        </w:rPr>
      </w:pPr>
      <w:r>
        <w:rPr>
          <w:rFonts w:hint="eastAsia" w:ascii="UD デジタル 教科書体 NK-R" w:hAnsi="UD デジタル 教科書体 NK-R" w:eastAsia="UD デジタル 教科書体 NK-R"/>
          <w:sz w:val="22"/>
        </w:rPr>
        <w:t>保</w:t>
      </w:r>
      <w:r>
        <w:rPr>
          <w:rFonts w:hint="eastAsia" w:ascii="UD デジタル 教科書体 NK-R" w:hAnsi="UD デジタル 教科書体 NK-R" w:eastAsia="UD デジタル 教科書体 NK-R"/>
          <w:sz w:val="22"/>
        </w:rPr>
        <w:t xml:space="preserve"> </w:t>
      </w:r>
      <w:r>
        <w:rPr>
          <w:rFonts w:hint="eastAsia" w:ascii="UD デジタル 教科書体 NK-R" w:hAnsi="UD デジタル 教科書体 NK-R" w:eastAsia="UD デジタル 教科書体 NK-R"/>
          <w:sz w:val="22"/>
        </w:rPr>
        <w:t>護</w:t>
      </w:r>
      <w:r>
        <w:rPr>
          <w:rFonts w:hint="eastAsia" w:ascii="UD デジタル 教科書体 NK-R" w:hAnsi="UD デジタル 教科書体 NK-R" w:eastAsia="UD デジタル 教科書体 NK-R"/>
          <w:sz w:val="22"/>
        </w:rPr>
        <w:t xml:space="preserve"> </w:t>
      </w:r>
      <w:r>
        <w:rPr>
          <w:rFonts w:hint="eastAsia" w:ascii="UD デジタル 教科書体 NK-R" w:hAnsi="UD デジタル 教科書体 NK-R" w:eastAsia="UD デジタル 教科書体 NK-R"/>
          <w:sz w:val="22"/>
        </w:rPr>
        <w:t>者</w:t>
      </w:r>
      <w:r>
        <w:rPr>
          <w:rFonts w:hint="eastAsia" w:ascii="UD デジタル 教科書体 NK-R" w:hAnsi="UD デジタル 教科書体 NK-R" w:eastAsia="UD デジタル 教科書体 NK-R"/>
          <w:sz w:val="22"/>
        </w:rPr>
        <w:t xml:space="preserve"> </w:t>
      </w:r>
      <w:r>
        <w:rPr>
          <w:rFonts w:hint="eastAsia" w:ascii="UD デジタル 教科書体 NK-R" w:hAnsi="UD デジタル 教科書体 NK-R" w:eastAsia="UD デジタル 教科書体 NK-R"/>
          <w:sz w:val="22"/>
        </w:rPr>
        <w:t>様</w:t>
      </w:r>
    </w:p>
    <w:p>
      <w:pPr>
        <w:pStyle w:val="0"/>
        <w:jc w:val="left"/>
        <w:rPr>
          <w:rFonts w:hint="default" w:ascii="UD デジタル 教科書体 NK-R" w:hAnsi="UD デジタル 教科書体 NK-R" w:eastAsia="UD デジタル 教科書体 NK-R"/>
          <w:sz w:val="22"/>
          <w:u w:val="single" w:color="auto"/>
        </w:rPr>
      </w:pPr>
      <w:r>
        <w:rPr>
          <w:rFonts w:hint="eastAsia" w:ascii="UD デジタル 教科書体 NK-R" w:hAnsi="UD デジタル 教科書体 NK-R" w:eastAsia="UD デジタル 教科書体 NK-R"/>
        </w:rPr>
        <w:t>　　　　　　　　　　　　　　　　　　　　　　　　　　　　　　　　　　　　　　　　　　　　　　　　　　　　　　　　　　　　　　　　</w:t>
      </w:r>
      <w:r>
        <w:rPr>
          <w:rFonts w:hint="eastAsia" w:ascii="UD デジタル 教科書体 NK-R" w:hAnsi="UD デジタル 教科書体 NK-R" w:eastAsia="UD デジタル 教科書体 NK-R"/>
          <w:sz w:val="22"/>
        </w:rPr>
        <w:t>　</w:t>
      </w:r>
      <w:r>
        <w:rPr>
          <w:rFonts w:hint="eastAsia" w:ascii="UD デジタル 教科書体 NK-R" w:hAnsi="UD デジタル 教科書体 NK-R" w:eastAsia="UD デジタル 教科書体 NK-R"/>
          <w:sz w:val="22"/>
          <w:u w:val="single" w:color="auto"/>
        </w:rPr>
        <w:t>所・園・校名　　　　　　</w:t>
      </w:r>
      <w:r>
        <w:rPr>
          <w:rFonts w:hint="eastAsia" w:ascii="UD デジタル 教科書体 NK-R" w:hAnsi="UD デジタル 教科書体 NK-R" w:eastAsia="UD デジタル 教科書体 NK-R"/>
          <w:sz w:val="22"/>
          <w:u w:val="single" w:color="auto"/>
        </w:rPr>
        <w:t xml:space="preserve"> </w:t>
      </w:r>
      <w:r>
        <w:rPr>
          <w:rFonts w:hint="eastAsia" w:ascii="UD デジタル 教科書体 NK-R" w:hAnsi="UD デジタル 教科書体 NK-R" w:eastAsia="UD デジタル 教科書体 NK-R"/>
          <w:sz w:val="22"/>
          <w:u w:val="single" w:color="auto"/>
        </w:rPr>
        <w:t>　　　　　　　　　　　　　　　　　　　　</w:t>
      </w:r>
    </w:p>
    <w:p>
      <w:pPr>
        <w:pStyle w:val="0"/>
        <w:ind w:firstLine="6636" w:firstLineChars="3100"/>
        <w:rPr>
          <w:rFonts w:hint="default" w:ascii="UD デジタル 教科書体 NK-R" w:hAnsi="UD デジタル 教科書体 NK-R" w:eastAsia="UD デジタル 教科書体 NK-R"/>
          <w:sz w:val="22"/>
          <w:u w:val="single" w:color="auto"/>
        </w:rPr>
      </w:pPr>
      <w:r>
        <w:rPr>
          <w:rFonts w:hint="eastAsia" w:ascii="UD デジタル 教科書体 NK-R" w:hAnsi="UD デジタル 教科書体 NK-R" w:eastAsia="UD デジタル 教科書体 NK-R"/>
          <w:sz w:val="22"/>
          <w:u w:val="single" w:color="auto"/>
        </w:rPr>
        <w:t>所・園・校長名</w:t>
      </w:r>
      <w:r>
        <w:rPr>
          <w:rFonts w:hint="eastAsia" w:ascii="UD デジタル 教科書体 NK-R" w:hAnsi="UD デジタル 教科書体 NK-R" w:eastAsia="UD デジタル 教科書体 NK-R"/>
          <w:sz w:val="22"/>
          <w:u w:val="single" w:color="auto"/>
        </w:rPr>
        <w:t xml:space="preserve"> </w:t>
      </w:r>
      <w:r>
        <w:rPr>
          <w:rFonts w:hint="default" w:ascii="UD デジタル 教科書体 NK-R" w:hAnsi="UD デジタル 教科書体 NK-R" w:eastAsia="UD デジタル 教科書体 NK-R"/>
          <w:sz w:val="22"/>
          <w:u w:val="single" w:color="auto"/>
        </w:rPr>
        <w:t xml:space="preserve"> </w:t>
      </w:r>
      <w:r>
        <w:rPr>
          <w:rFonts w:hint="eastAsia" w:ascii="UD デジタル 教科書体 NK-R" w:hAnsi="UD デジタル 教科書体 NK-R" w:eastAsia="UD デジタル 教科書体 NK-R"/>
          <w:sz w:val="22"/>
          <w:u w:val="single" w:color="auto"/>
        </w:rPr>
        <w:t>　　　　　　　　　　　　　　　　　　　　　　　</w:t>
      </w:r>
      <w:r>
        <w:rPr>
          <w:rFonts w:hint="eastAsia" w:ascii="UD デジタル 教科書体 NK-R" w:hAnsi="UD デジタル 教科書体 NK-R" w:eastAsia="UD デジタル 教科書体 NK-R"/>
          <w:sz w:val="22"/>
          <w:u w:val="single" w:color="auto"/>
        </w:rPr>
        <w:t xml:space="preserve"> </w:t>
      </w:r>
      <w:r>
        <w:rPr>
          <w:rFonts w:hint="eastAsia" w:ascii="UD デジタル 教科書体 NK-R" w:hAnsi="UD デジタル 教科書体 NK-R" w:eastAsia="UD デジタル 教科書体 NK-R"/>
          <w:sz w:val="22"/>
          <w:u w:val="single" w:color="auto"/>
        </w:rPr>
        <w:t>　</w:t>
      </w:r>
    </w:p>
    <w:p>
      <w:pPr>
        <w:pStyle w:val="0"/>
        <w:jc w:val="center"/>
        <w:rPr>
          <w:rFonts w:hint="default" w:ascii="UD デジタル 教科書体 N-B" w:hAnsi="UD デジタル 教科書体 N-B" w:eastAsia="UD デジタル 教科書体 N-B"/>
          <w:sz w:val="32"/>
        </w:rPr>
      </w:pPr>
      <w:r>
        <w:rPr>
          <w:rFonts w:hint="eastAsia" w:ascii="UD デジタル 教科書体 N-B" w:hAnsi="UD デジタル 教科書体 N-B" w:eastAsia="UD デジタル 教科書体 N-B"/>
          <w:sz w:val="32"/>
        </w:rPr>
        <w:t>学校等で予防すべき感染症にかかった場合の取り扱いについて</w:t>
      </w:r>
    </w:p>
    <w:p>
      <w:pPr>
        <w:pStyle w:val="0"/>
        <w:spacing w:line="260" w:lineRule="exact"/>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sz w:val="22"/>
        </w:rPr>
        <w:t>　</w:t>
      </w:r>
      <w:r>
        <w:rPr>
          <w:rFonts w:hint="eastAsia" w:ascii="UD デジタル 教科書体 NK-R" w:hAnsi="UD デジタル 教科書体 NK-R" w:eastAsia="UD デジタル 教科書体 NK-R"/>
        </w:rPr>
        <w:t>次の表に掲げた病気にかかっている場合、他の者に感染するおそれがありますので、「学校保健安全法施行規則」では、病気が治るまで本人の出席を停止するように定めています。（保育所は、児童福祉施設であり学校ではありませんが、健康管理は、学校保健安全法関係法令に準拠して行われます。）</w:t>
      </w:r>
    </w:p>
    <w:p>
      <w:pPr>
        <w:pStyle w:val="0"/>
        <w:spacing w:line="260" w:lineRule="exact"/>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　したがって、病気が治って登（所・園・校）する場合、下記「治癒証明書」に医師の証明をもらった上で学校等に提出して下さい。なお、出席停止期間中は、欠席扱いになりませんのでご承知おき下さい。</w:t>
      </w:r>
    </w:p>
    <w:p>
      <w:pPr>
        <w:pStyle w:val="0"/>
        <w:spacing w:line="400" w:lineRule="exact"/>
        <w:jc w:val="center"/>
        <w:rPr>
          <w:rFonts w:hint="default" w:ascii="UD デジタル 教科書体 N-B" w:hAnsi="UD デジタル 教科書体 N-B" w:eastAsia="UD デジタル 教科書体 N-B"/>
          <w:sz w:val="28"/>
        </w:rPr>
      </w:pPr>
      <w:r>
        <w:rPr>
          <w:rFonts w:hint="eastAsia" w:ascii="UD デジタル 教科書体 N-B" w:hAnsi="UD デジタル 教科書体 N-B" w:eastAsia="UD デジタル 教科書体 N-B"/>
          <w:sz w:val="28"/>
        </w:rPr>
        <w:t>学校等で予防すべき感染症と出席停止の期間</w:t>
      </w:r>
    </w:p>
    <w:tbl>
      <w:tblPr>
        <w:tblStyle w:val="21"/>
        <w:tblW w:w="10774" w:type="dxa"/>
        <w:tblInd w:w="-289" w:type="dxa"/>
        <w:tblLayout w:type="fixed"/>
        <w:tblLook w:firstRow="1" w:lastRow="0" w:firstColumn="1" w:lastColumn="0" w:noHBand="0" w:noVBand="1" w:val="04A0"/>
      </w:tblPr>
      <w:tblGrid>
        <w:gridCol w:w="556"/>
        <w:gridCol w:w="4973"/>
        <w:gridCol w:w="5245"/>
      </w:tblGrid>
      <w:tr>
        <w:trPr/>
        <w:tc>
          <w:tcPr>
            <w:tcW w:w="5529" w:type="dxa"/>
            <w:gridSpan w:val="2"/>
            <w:vAlign w:val="top"/>
          </w:tcPr>
          <w:p>
            <w:pPr>
              <w:pStyle w:val="0"/>
              <w:spacing w:line="300" w:lineRule="exact"/>
              <w:jc w:val="center"/>
              <w:rPr>
                <w:rFonts w:hint="default" w:ascii="UD デジタル 教科書体 NK-R" w:hAnsi="UD デジタル 教科書体 NK-R" w:eastAsia="UD デジタル 教科書体 NK-R"/>
                <w:sz w:val="20"/>
              </w:rPr>
            </w:pPr>
            <w:r>
              <w:rPr>
                <w:rFonts w:hint="eastAsia" w:ascii="UD デジタル 教科書体 NK-R" w:hAnsi="UD デジタル 教科書体 NK-R" w:eastAsia="UD デジタル 教科書体 NK-R"/>
              </w:rPr>
              <w:t>学校で予防すべき感染症</w:t>
            </w:r>
          </w:p>
        </w:tc>
        <w:tc>
          <w:tcPr>
            <w:tcW w:w="5245" w:type="dxa"/>
            <w:tcBorders>
              <w:top w:val="none" w:color="auto" w:sz="0" w:space="0"/>
              <w:left w:val="none" w:color="auto" w:sz="0" w:space="0"/>
              <w:bottom w:val="double" w:color="auto" w:sz="4" w:space="0"/>
              <w:right w:val="none" w:color="auto" w:sz="0" w:space="0"/>
              <w:tl2br w:val="none" w:color="auto" w:sz="0" w:space="0"/>
              <w:tr2bl w:val="none" w:color="auto" w:sz="0" w:space="0"/>
            </w:tcBorders>
            <w:vAlign w:val="top"/>
          </w:tcPr>
          <w:p>
            <w:pPr>
              <w:pStyle w:val="0"/>
              <w:spacing w:line="300" w:lineRule="exact"/>
              <w:jc w:val="center"/>
              <w:rPr>
                <w:rFonts w:hint="default" w:ascii="UD デジタル 教科書体 NK-R" w:hAnsi="UD デジタル 教科書体 NK-R" w:eastAsia="UD デジタル 教科書体 NK-R"/>
                <w:sz w:val="18"/>
              </w:rPr>
            </w:pPr>
            <w:r>
              <w:rPr>
                <w:rFonts w:hint="eastAsia" w:ascii="UD デジタル 教科書体 NK-R" w:hAnsi="UD デジタル 教科書体 NK-R" w:eastAsia="UD デジタル 教科書体 NK-R"/>
              </w:rPr>
              <w:t>出席停止期間</w:t>
            </w:r>
          </w:p>
        </w:tc>
      </w:tr>
      <w:tr>
        <w:trPr>
          <w:cantSplit/>
          <w:trHeight w:val="1134" w:hRule="atLeast"/>
        </w:trPr>
        <w:tc>
          <w:tcPr>
            <w:tcW w:w="556" w:type="dxa"/>
            <w:tcBorders>
              <w:top w:val="double" w:color="auto" w:sz="4"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第　１　種</w:t>
            </w:r>
          </w:p>
        </w:tc>
        <w:tc>
          <w:tcPr>
            <w:tcW w:w="4973"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40" w:lineRule="exact"/>
              <w:rPr>
                <w:rFonts w:hint="default" w:ascii="UD デジタル 教科書体 NK-R" w:hAnsi="UD デジタル 教科書体 NK-R" w:eastAsia="UD デジタル 教科書体 NK-R"/>
                <w:sz w:val="20"/>
              </w:rPr>
            </w:pPr>
            <w:r>
              <w:rPr>
                <w:rFonts w:hint="eastAsia" w:ascii="UD デジタル 教科書体 NK-R" w:hAnsi="UD デジタル 教科書体 NK-R" w:eastAsia="UD デジタル 教科書体 NK-R"/>
                <w:sz w:val="20"/>
              </w:rPr>
              <w:t>エボラ出血熱、クリミア・コンゴ出血熱、痘そう、南米出血熱、ペスト、マールブルグ病、ラッサ熱、急性灰白髄炎、ジフテリア、重症急性呼吸器症候群</w:t>
            </w:r>
            <w:r>
              <w:rPr>
                <w:rFonts w:hint="eastAsia" w:ascii="UD デジタル 教科書体 NK-R" w:hAnsi="UD デジタル 教科書体 NK-R" w:eastAsia="UD デジタル 教科書体 NK-R"/>
                <w:sz w:val="18"/>
              </w:rPr>
              <w:t>（病原体がベータコロナウィルス属ＳＡＲＳコロナウイルスであるものに限る。）</w:t>
            </w:r>
            <w:r>
              <w:rPr>
                <w:rFonts w:hint="eastAsia" w:ascii="UD デジタル 教科書体 NK-R" w:hAnsi="UD デジタル 教科書体 NK-R" w:eastAsia="UD デジタル 教科書体 NK-R"/>
                <w:sz w:val="20"/>
              </w:rPr>
              <w:t>、中東呼吸器症候群</w:t>
            </w:r>
            <w:r>
              <w:rPr>
                <w:rFonts w:hint="eastAsia" w:ascii="UD デジタル 教科書体 NK-R" w:hAnsi="UD デジタル 教科書体 NK-R" w:eastAsia="UD デジタル 教科書体 NK-R"/>
                <w:sz w:val="18"/>
              </w:rPr>
              <w:t>（病原体がベータコロナウィルス属ＭＥＲＳコロナウイルスであるものに限る。）</w:t>
            </w:r>
            <w:r>
              <w:rPr>
                <w:rFonts w:hint="eastAsia" w:ascii="UD デジタル 教科書体 NK-R" w:hAnsi="UD デジタル 教科書体 NK-R" w:eastAsia="UD デジタル 教科書体 NK-R"/>
                <w:sz w:val="20"/>
              </w:rPr>
              <w:t>及び特定鳥インフルエンザ</w:t>
            </w:r>
            <w:r>
              <w:rPr>
                <w:rFonts w:hint="eastAsia" w:ascii="UD デジタル 教科書体 NK-R" w:hAnsi="UD デジタル 教科書体 NK-R" w:eastAsia="UD デジタル 教科書体 NK-R"/>
                <w:sz w:val="18"/>
              </w:rPr>
              <w:t>（感染症の予防及び感染症の患者に対する医療に関する法律に規定する特定鳥インフルエンザをいう。）</w:t>
            </w:r>
          </w:p>
        </w:tc>
        <w:tc>
          <w:tcPr>
            <w:tcW w:w="5245"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300" w:lineRule="exact"/>
              <w:rPr>
                <w:rFonts w:hint="default" w:ascii="UD デジタル 教科書体 NK-R" w:hAnsi="UD デジタル 教科書体 NK-R" w:eastAsia="UD デジタル 教科書体 NK-R"/>
                <w:sz w:val="20"/>
              </w:rPr>
            </w:pPr>
            <w:r>
              <w:rPr>
                <w:rFonts w:hint="eastAsia" w:ascii="UD デジタル 教科書体 NK-R" w:hAnsi="UD デジタル 教科書体 NK-R" w:eastAsia="UD デジタル 教科書体 NK-R"/>
              </w:rPr>
              <w:t>病気が治って、医師の許可があるまで</w:t>
            </w:r>
          </w:p>
        </w:tc>
      </w:tr>
      <w:tr>
        <w:trPr/>
        <w:tc>
          <w:tcPr>
            <w:tcW w:w="556" w:type="dxa"/>
            <w:vMerge w:val="restart"/>
            <w:textDirection w:val="tbRlV"/>
            <w:vAlign w:val="center"/>
          </w:tcPr>
          <w:p>
            <w:pPr>
              <w:pStyle w:val="0"/>
              <w:ind w:left="113" w:right="113"/>
              <w:jc w:val="center"/>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第　２　種</w:t>
            </w:r>
          </w:p>
        </w:tc>
        <w:tc>
          <w:tcPr>
            <w:tcW w:w="4973"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overflowPunct w:val="0"/>
              <w:spacing w:line="300" w:lineRule="exact"/>
              <w:textAlignment w:val="baseline"/>
              <w:rPr>
                <w:rFonts w:hint="default" w:ascii="UD デジタル 教科書体 NK-R" w:hAnsi="UD デジタル 教科書体 NK-R" w:eastAsia="UD デジタル 教科書体 NK-R"/>
                <w:spacing w:val="2"/>
                <w:kern w:val="0"/>
              </w:rPr>
            </w:pPr>
            <w:r>
              <w:rPr>
                <w:rFonts w:hint="eastAsia" w:ascii="UD デジタル 教科書体 NK-R" w:hAnsi="UD デジタル 教科書体 NK-R" w:eastAsia="UD デジタル 教科書体 NK-R"/>
                <w:kern w:val="0"/>
              </w:rPr>
              <w:t>インフルエンザ</w:t>
            </w:r>
            <w:r>
              <w:rPr>
                <w:rFonts w:hint="eastAsia" w:ascii="UD デジタル 教科書体 NK-R" w:hAnsi="UD デジタル 教科書体 NK-R" w:eastAsia="UD デジタル 教科書体 NK-R"/>
                <w:kern w:val="0"/>
              </w:rPr>
              <w:t xml:space="preserve"> </w:t>
            </w:r>
            <w:r>
              <w:rPr>
                <w:rFonts w:hint="eastAsia" w:ascii="UD デジタル 教科書体 NK-R" w:hAnsi="UD デジタル 教科書体 NK-R" w:eastAsia="UD デジタル 教科書体 NK-R"/>
              </w:rPr>
              <w:t>※</w:t>
            </w:r>
          </w:p>
        </w:tc>
        <w:tc>
          <w:tcPr>
            <w:tcW w:w="5245"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240" w:lineRule="exact"/>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発症した後５日を経過し､かつ、解熱した後２日（幼児にあたって</w:t>
            </w:r>
            <w:bookmarkStart w:id="0" w:name="_GoBack"/>
            <w:bookmarkEnd w:id="0"/>
            <w:r>
              <w:rPr>
                <w:rFonts w:hint="eastAsia" w:ascii="UD デジタル 教科書体 NK-R" w:hAnsi="UD デジタル 教科書体 NK-R" w:eastAsia="UD デジタル 教科書体 NK-R"/>
              </w:rPr>
              <w:t>は３日）を経過するまで</w:t>
            </w:r>
          </w:p>
        </w:tc>
      </w:tr>
      <w:tr>
        <w:trPr/>
        <w:tc>
          <w:tcPr>
            <w:tcW w:w="556" w:type="dxa"/>
            <w:vMerge w:val="continue"/>
            <w:textDirection w:val="tbRlV"/>
            <w:vAlign w:val="center"/>
          </w:tcPr>
          <w:p>
            <w:pPr>
              <w:pStyle w:val="0"/>
              <w:ind w:left="113" w:right="113"/>
              <w:jc w:val="center"/>
              <w:rPr>
                <w:rFonts w:hint="default" w:ascii="UD デジタル 教科書体 NK-R" w:hAnsi="UD デジタル 教科書体 NK-R" w:eastAsia="UD デジタル 教科書体 NK-R"/>
              </w:rPr>
            </w:pPr>
          </w:p>
        </w:tc>
        <w:tc>
          <w:tcPr>
            <w:tcW w:w="497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overflowPunct w:val="0"/>
              <w:spacing w:line="300" w:lineRule="exact"/>
              <w:textAlignment w:val="baseline"/>
              <w:rPr>
                <w:rFonts w:hint="default" w:ascii="UD デジタル 教科書体 NK-R" w:hAnsi="UD デジタル 教科書体 NK-R" w:eastAsia="UD デジタル 教科書体 NK-R"/>
                <w:spacing w:val="2"/>
                <w:kern w:val="0"/>
              </w:rPr>
            </w:pPr>
            <w:r>
              <w:rPr>
                <w:rFonts w:hint="eastAsia" w:ascii="UD デジタル 教科書体 NK-R" w:hAnsi="UD デジタル 教科書体 NK-R" w:eastAsia="UD デジタル 教科書体 NK-R"/>
                <w:kern w:val="0"/>
              </w:rPr>
              <w:t>百日咳</w:t>
            </w:r>
          </w:p>
        </w:tc>
        <w:tc>
          <w:tcPr>
            <w:tcW w:w="5245"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overflowPunct w:val="0"/>
              <w:spacing w:line="240" w:lineRule="exact"/>
              <w:textAlignment w:val="baseline"/>
              <w:rPr>
                <w:rFonts w:hint="default" w:ascii="UD デジタル 教科書体 NK-R" w:hAnsi="UD デジタル 教科書体 NK-R" w:eastAsia="UD デジタル 教科書体 NK-R"/>
                <w:spacing w:val="2"/>
                <w:kern w:val="0"/>
              </w:rPr>
            </w:pPr>
            <w:r>
              <w:rPr>
                <w:rFonts w:hint="eastAsia" w:ascii="UD デジタル 教科書体 NK-R" w:hAnsi="UD デジタル 教科書体 NK-R" w:eastAsia="UD デジタル 教科書体 NK-R"/>
                <w:kern w:val="0"/>
              </w:rPr>
              <w:t>特有の咳がなくなるまで又は５日間の適正な抗菌性物質製剤による治療が終了するまで</w:t>
            </w:r>
          </w:p>
        </w:tc>
      </w:tr>
      <w:tr>
        <w:trPr/>
        <w:tc>
          <w:tcPr>
            <w:tcW w:w="556" w:type="dxa"/>
            <w:vMerge w:val="continue"/>
            <w:textDirection w:val="tbRlV"/>
            <w:vAlign w:val="center"/>
          </w:tcPr>
          <w:p>
            <w:pPr>
              <w:pStyle w:val="0"/>
              <w:ind w:left="113" w:right="113"/>
              <w:jc w:val="center"/>
              <w:rPr>
                <w:rFonts w:hint="default" w:ascii="UD デジタル 教科書体 NK-R" w:hAnsi="UD デジタル 教科書体 NK-R" w:eastAsia="UD デジタル 教科書体 NK-R"/>
              </w:rPr>
            </w:pPr>
          </w:p>
        </w:tc>
        <w:tc>
          <w:tcPr>
            <w:tcW w:w="497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300" w:lineRule="exact"/>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麻しん（はしか）</w:t>
            </w:r>
          </w:p>
        </w:tc>
        <w:tc>
          <w:tcPr>
            <w:tcW w:w="5245"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240" w:lineRule="exact"/>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解熱をした後３日を経過するまで</w:t>
            </w:r>
          </w:p>
        </w:tc>
      </w:tr>
      <w:tr>
        <w:trPr/>
        <w:tc>
          <w:tcPr>
            <w:tcW w:w="556" w:type="dxa"/>
            <w:vMerge w:val="continue"/>
            <w:textDirection w:val="tbRlV"/>
            <w:vAlign w:val="center"/>
          </w:tcPr>
          <w:p>
            <w:pPr>
              <w:pStyle w:val="0"/>
              <w:ind w:left="113" w:right="113"/>
              <w:jc w:val="center"/>
              <w:rPr>
                <w:rFonts w:hint="default" w:ascii="UD デジタル 教科書体 NK-R" w:hAnsi="UD デジタル 教科書体 NK-R" w:eastAsia="UD デジタル 教科書体 NK-R"/>
              </w:rPr>
            </w:pPr>
          </w:p>
        </w:tc>
        <w:tc>
          <w:tcPr>
            <w:tcW w:w="497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overflowPunct w:val="0"/>
              <w:textAlignment w:val="baseline"/>
              <w:rPr>
                <w:rFonts w:hint="default" w:ascii="UD デジタル 教科書体 NK-R" w:hAnsi="UD デジタル 教科書体 NK-R" w:eastAsia="UD デジタル 教科書体 NK-R"/>
                <w:spacing w:val="2"/>
                <w:kern w:val="0"/>
              </w:rPr>
            </w:pPr>
            <w:r>
              <w:rPr>
                <w:rFonts w:hint="eastAsia" w:ascii="UD デジタル 教科書体 NK-R" w:hAnsi="UD デジタル 教科書体 NK-R" w:eastAsia="UD デジタル 教科書体 NK-R"/>
                <w:kern w:val="0"/>
              </w:rPr>
              <w:t>流行性耳下腺炎（おたふくかぜ）</w:t>
            </w:r>
          </w:p>
        </w:tc>
        <w:tc>
          <w:tcPr>
            <w:tcW w:w="5245"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spacing w:line="240" w:lineRule="exact"/>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耳下腺、顎下腺又は舌下腺の腫脹が発現した後５日を経過し､かつ、全身状態が良好になるまで</w:t>
            </w:r>
          </w:p>
        </w:tc>
      </w:tr>
      <w:tr>
        <w:trPr/>
        <w:tc>
          <w:tcPr>
            <w:tcW w:w="556" w:type="dxa"/>
            <w:vMerge w:val="continue"/>
            <w:textDirection w:val="tbRlV"/>
            <w:vAlign w:val="center"/>
          </w:tcPr>
          <w:p>
            <w:pPr>
              <w:pStyle w:val="0"/>
              <w:ind w:left="113" w:right="113"/>
              <w:jc w:val="center"/>
              <w:rPr>
                <w:rFonts w:hint="default" w:ascii="UD デジタル 教科書体 NK-R" w:hAnsi="UD デジタル 教科書体 NK-R" w:eastAsia="UD デジタル 教科書体 NK-R"/>
              </w:rPr>
            </w:pPr>
          </w:p>
        </w:tc>
        <w:tc>
          <w:tcPr>
            <w:tcW w:w="497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overflowPunct w:val="0"/>
              <w:textAlignment w:val="baseline"/>
              <w:rPr>
                <w:rFonts w:hint="default" w:ascii="UD デジタル 教科書体 NK-R" w:hAnsi="UD デジタル 教科書体 NK-R" w:eastAsia="UD デジタル 教科書体 NK-R"/>
                <w:spacing w:val="2"/>
                <w:kern w:val="0"/>
              </w:rPr>
            </w:pPr>
            <w:r>
              <w:rPr>
                <w:rFonts w:hint="eastAsia" w:ascii="UD デジタル 教科書体 NK-R" w:hAnsi="UD デジタル 教科書体 NK-R" w:eastAsia="UD デジタル 教科書体 NK-R"/>
                <w:kern w:val="0"/>
              </w:rPr>
              <w:t>風しん（三日はしか）</w:t>
            </w:r>
          </w:p>
        </w:tc>
        <w:tc>
          <w:tcPr>
            <w:tcW w:w="5245"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240" w:lineRule="exact"/>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発しんが消失するまで</w:t>
            </w:r>
          </w:p>
        </w:tc>
      </w:tr>
      <w:tr>
        <w:trPr/>
        <w:tc>
          <w:tcPr>
            <w:tcW w:w="556" w:type="dxa"/>
            <w:vMerge w:val="continue"/>
            <w:textDirection w:val="tbRlV"/>
            <w:vAlign w:val="center"/>
          </w:tcPr>
          <w:p>
            <w:pPr>
              <w:pStyle w:val="0"/>
              <w:ind w:left="113" w:right="113"/>
              <w:jc w:val="center"/>
              <w:rPr>
                <w:rFonts w:hint="default" w:ascii="UD デジタル 教科書体 NK-R" w:hAnsi="UD デジタル 教科書体 NK-R" w:eastAsia="UD デジタル 教科書体 NK-R"/>
              </w:rPr>
            </w:pPr>
          </w:p>
        </w:tc>
        <w:tc>
          <w:tcPr>
            <w:tcW w:w="497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overflowPunct w:val="0"/>
              <w:textAlignment w:val="baseline"/>
              <w:rPr>
                <w:rFonts w:hint="default" w:ascii="UD デジタル 教科書体 NK-R" w:hAnsi="UD デジタル 教科書体 NK-R" w:eastAsia="UD デジタル 教科書体 NK-R"/>
                <w:kern w:val="0"/>
              </w:rPr>
            </w:pPr>
            <w:r>
              <w:rPr>
                <w:rFonts w:hint="eastAsia" w:ascii="UD デジタル 教科書体 NK-R" w:hAnsi="UD デジタル 教科書体 NK-R" w:eastAsia="UD デジタル 教科書体 NK-R"/>
              </w:rPr>
              <w:t>水痘（みずぼうそう）</w:t>
            </w:r>
          </w:p>
        </w:tc>
        <w:tc>
          <w:tcPr>
            <w:tcW w:w="5245"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overflowPunct w:val="0"/>
              <w:spacing w:line="240" w:lineRule="exact"/>
              <w:textAlignment w:val="baseline"/>
              <w:rPr>
                <w:rFonts w:hint="default" w:ascii="UD デジタル 教科書体 NK-R" w:hAnsi="UD デジタル 教科書体 NK-R" w:eastAsia="UD デジタル 教科書体 NK-R"/>
                <w:spacing w:val="2"/>
                <w:kern w:val="0"/>
              </w:rPr>
            </w:pPr>
            <w:r>
              <w:rPr>
                <w:rFonts w:hint="eastAsia" w:ascii="UD デジタル 教科書体 NK-R" w:hAnsi="UD デジタル 教科書体 NK-R" w:eastAsia="UD デジタル 教科書体 NK-R"/>
                <w:kern w:val="0"/>
              </w:rPr>
              <w:t>すべての発しんがかさぶたになるまで</w:t>
            </w:r>
          </w:p>
        </w:tc>
      </w:tr>
      <w:tr>
        <w:trPr/>
        <w:tc>
          <w:tcPr>
            <w:tcW w:w="556" w:type="dxa"/>
            <w:vMerge w:val="continue"/>
            <w:textDirection w:val="tbRlV"/>
            <w:vAlign w:val="center"/>
          </w:tcPr>
          <w:p>
            <w:pPr>
              <w:pStyle w:val="0"/>
              <w:ind w:left="113" w:right="113"/>
              <w:jc w:val="center"/>
              <w:rPr>
                <w:rFonts w:hint="default" w:ascii="UD デジタル 教科書体 NK-R" w:hAnsi="UD デジタル 教科書体 NK-R" w:eastAsia="UD デジタル 教科書体 NK-R"/>
              </w:rPr>
            </w:pPr>
          </w:p>
        </w:tc>
        <w:tc>
          <w:tcPr>
            <w:tcW w:w="497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overflowPunct w:val="0"/>
              <w:textAlignment w:val="baseline"/>
              <w:rPr>
                <w:rFonts w:hint="default" w:ascii="UD デジタル 教科書体 NK-R" w:hAnsi="UD デジタル 教科書体 NK-R" w:eastAsia="UD デジタル 教科書体 NK-R"/>
                <w:kern w:val="0"/>
              </w:rPr>
            </w:pPr>
            <w:r>
              <w:rPr>
                <w:rFonts w:hint="eastAsia" w:ascii="UD デジタル 教科書体 NK-R" w:hAnsi="UD デジタル 教科書体 NK-R" w:eastAsia="UD デジタル 教科書体 NK-R"/>
              </w:rPr>
              <w:t>咽頭結膜熱（プール熱）</w:t>
            </w:r>
          </w:p>
        </w:tc>
        <w:tc>
          <w:tcPr>
            <w:tcW w:w="5245"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overflowPunct w:val="0"/>
              <w:spacing w:line="240" w:lineRule="exact"/>
              <w:textAlignment w:val="baseline"/>
              <w:rPr>
                <w:rFonts w:hint="default" w:ascii="UD デジタル 教科書体 NK-R" w:hAnsi="UD デジタル 教科書体 NK-R" w:eastAsia="UD デジタル 教科書体 NK-R"/>
                <w:spacing w:val="2"/>
                <w:kern w:val="0"/>
              </w:rPr>
            </w:pPr>
            <w:r>
              <w:rPr>
                <w:rFonts w:hint="eastAsia" w:ascii="UD デジタル 教科書体 NK-R" w:hAnsi="UD デジタル 教科書体 NK-R" w:eastAsia="UD デジタル 教科書体 NK-R"/>
                <w:kern w:val="0"/>
              </w:rPr>
              <w:t>主要な症状がとれてから２日を経過するまで</w:t>
            </w:r>
          </w:p>
        </w:tc>
      </w:tr>
      <w:tr>
        <w:trPr/>
        <w:tc>
          <w:tcPr>
            <w:tcW w:w="556" w:type="dxa"/>
            <w:vMerge w:val="continue"/>
            <w:textDirection w:val="tbRlV"/>
            <w:vAlign w:val="center"/>
          </w:tcPr>
          <w:p>
            <w:pPr>
              <w:pStyle w:val="0"/>
              <w:ind w:left="113" w:right="113"/>
              <w:jc w:val="center"/>
              <w:rPr>
                <w:rFonts w:hint="default" w:ascii="UD デジタル 教科書体 NK-R" w:hAnsi="UD デジタル 教科書体 NK-R" w:eastAsia="UD デジタル 教科書体 NK-R"/>
              </w:rPr>
            </w:pPr>
          </w:p>
        </w:tc>
        <w:tc>
          <w:tcPr>
            <w:tcW w:w="4973"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center"/>
          </w:tcPr>
          <w:p>
            <w:pPr>
              <w:pStyle w:val="0"/>
              <w:overflowPunct w:val="0"/>
              <w:textAlignment w:val="baseline"/>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新型コロナウイルス感染症　※</w:t>
            </w:r>
          </w:p>
        </w:tc>
        <w:tc>
          <w:tcPr>
            <w:tcW w:w="5245" w:type="dxa"/>
            <w:tcBorders>
              <w:top w:val="dashSmallGap" w:color="auto" w:sz="4" w:space="0"/>
              <w:left w:val="none" w:color="auto" w:sz="0" w:space="0"/>
              <w:bottom w:val="dashSmallGap" w:color="auto" w:sz="4" w:space="0"/>
              <w:right w:val="none" w:color="auto" w:sz="0" w:space="0"/>
              <w:tl2br w:val="none" w:color="auto" w:sz="0" w:space="0"/>
              <w:tr2bl w:val="none" w:color="auto" w:sz="0" w:space="0"/>
            </w:tcBorders>
            <w:vAlign w:val="top"/>
          </w:tcPr>
          <w:p>
            <w:pPr>
              <w:pStyle w:val="0"/>
              <w:overflowPunct w:val="0"/>
              <w:spacing w:line="240" w:lineRule="exact"/>
              <w:textAlignment w:val="baseline"/>
              <w:rPr>
                <w:rFonts w:hint="default" w:ascii="UD デジタル 教科書体 NK-R" w:hAnsi="UD デジタル 教科書体 NK-R" w:eastAsia="UD デジタル 教科書体 NK-R"/>
                <w:kern w:val="0"/>
              </w:rPr>
            </w:pPr>
            <w:r>
              <w:rPr>
                <w:rFonts w:hint="eastAsia" w:ascii="UD デジタル 教科書体 NK-R" w:hAnsi="UD デジタル 教科書体 NK-R" w:eastAsia="UD デジタル 教科書体 NK-R"/>
                <w:kern w:val="0"/>
              </w:rPr>
              <w:t>発症した後５日を経過し、かつ、症状が軽快した後１日を経過するまで</w:t>
            </w:r>
          </w:p>
        </w:tc>
      </w:tr>
      <w:tr>
        <w:trPr/>
        <w:tc>
          <w:tcPr>
            <w:tcW w:w="556" w:type="dxa"/>
            <w:vMerge w:val="continue"/>
            <w:textDirection w:val="tbRlV"/>
            <w:vAlign w:val="center"/>
          </w:tcPr>
          <w:p>
            <w:pPr>
              <w:pStyle w:val="0"/>
              <w:ind w:left="113" w:right="113"/>
              <w:jc w:val="center"/>
              <w:rPr>
                <w:rFonts w:hint="default" w:ascii="UD デジタル 教科書体 NK-R" w:hAnsi="UD デジタル 教科書体 NK-R" w:eastAsia="UD デジタル 教科書体 NK-R"/>
              </w:rPr>
            </w:pPr>
          </w:p>
        </w:tc>
        <w:tc>
          <w:tcPr>
            <w:tcW w:w="4973"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textAlignment w:val="baseline"/>
              <w:rPr>
                <w:rFonts w:hint="default" w:ascii="UD デジタル 教科書体 NK-R" w:hAnsi="UD デジタル 教科書体 NK-R" w:eastAsia="UD デジタル 教科書体 NK-R"/>
                <w:kern w:val="0"/>
              </w:rPr>
            </w:pPr>
            <w:r>
              <w:rPr>
                <w:rFonts w:hint="eastAsia" w:ascii="UD デジタル 教科書体 NK-R" w:hAnsi="UD デジタル 教科書体 NK-R" w:eastAsia="UD デジタル 教科書体 NK-R"/>
              </w:rPr>
              <w:t>結核及び髄膜炎菌性髄膜炎</w:t>
            </w:r>
          </w:p>
        </w:tc>
        <w:tc>
          <w:tcPr>
            <w:tcW w:w="5245" w:type="dxa"/>
            <w:vMerge w:val="restart"/>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spacing w:line="240" w:lineRule="exact"/>
              <w:textAlignment w:val="baseline"/>
              <w:rPr>
                <w:rFonts w:hint="default" w:ascii="UD デジタル 教科書体 NK-R" w:hAnsi="UD デジタル 教科書体 NK-R" w:eastAsia="UD デジタル 教科書体 NK-R"/>
                <w:spacing w:val="2"/>
                <w:kern w:val="0"/>
              </w:rPr>
            </w:pPr>
            <w:r>
              <w:rPr>
                <w:rFonts w:hint="eastAsia" w:ascii="UD デジタル 教科書体 NK-R" w:hAnsi="UD デジタル 教科書体 NK-R" w:eastAsia="UD デジタル 教科書体 NK-R"/>
                <w:kern w:val="0"/>
              </w:rPr>
              <w:t>症状により学校医その他の医師において感染のおそれがないと認めるまで</w:t>
            </w:r>
          </w:p>
        </w:tc>
      </w:tr>
      <w:tr>
        <w:trPr>
          <w:cantSplit/>
          <w:trHeight w:val="1136" w:hRule="atLeast"/>
        </w:trPr>
        <w:tc>
          <w:tcPr>
            <w:tcW w:w="556" w:type="dxa"/>
            <w:textDirection w:val="tbRlV"/>
            <w:vAlign w:val="center"/>
          </w:tcPr>
          <w:p>
            <w:pPr>
              <w:pStyle w:val="0"/>
              <w:ind w:left="113" w:right="113"/>
              <w:jc w:val="center"/>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第　３　種</w:t>
            </w:r>
          </w:p>
        </w:tc>
        <w:tc>
          <w:tcPr>
            <w:tcW w:w="4973" w:type="dxa"/>
            <w:vAlign w:val="center"/>
          </w:tcPr>
          <w:p>
            <w:pPr>
              <w:pStyle w:val="0"/>
              <w:overflowPunct w:val="0"/>
              <w:spacing w:line="276" w:lineRule="auto"/>
              <w:textAlignment w:val="baseline"/>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コレラ、　細菌性赤痢、　腸管出血性大腸菌感染症</w:t>
            </w:r>
          </w:p>
          <w:p>
            <w:pPr>
              <w:pStyle w:val="0"/>
              <w:overflowPunct w:val="0"/>
              <w:spacing w:line="276" w:lineRule="auto"/>
              <w:textAlignment w:val="baseline"/>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腸チフス、　パラチフス、　流行性角結膜炎</w:t>
            </w:r>
          </w:p>
          <w:p>
            <w:pPr>
              <w:pStyle w:val="0"/>
              <w:overflowPunct w:val="0"/>
              <w:spacing w:line="276" w:lineRule="auto"/>
              <w:textAlignment w:val="baseline"/>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急性出血性結膜炎　　＊その他の感染症</w:t>
            </w:r>
          </w:p>
        </w:tc>
        <w:tc>
          <w:tcPr>
            <w:tcW w:w="5245" w:type="dxa"/>
            <w:vMerge w:val="continue"/>
            <w:vAlign w:val="top"/>
          </w:tcPr>
          <w:p>
            <w:pPr>
              <w:pStyle w:val="0"/>
              <w:overflowPunct w:val="0"/>
              <w:spacing w:line="240" w:lineRule="exact"/>
              <w:textAlignment w:val="baseline"/>
              <w:rPr>
                <w:rFonts w:hint="default" w:ascii="UD デジタル 教科書体 NK-R" w:hAnsi="UD デジタル 教科書体 NK-R" w:eastAsia="UD デジタル 教科書体 NK-R"/>
                <w:kern w:val="0"/>
              </w:rPr>
            </w:pPr>
          </w:p>
        </w:tc>
      </w:tr>
    </w:tbl>
    <w:p>
      <w:pPr>
        <w:pStyle w:val="0"/>
        <w:spacing w:line="240" w:lineRule="exact"/>
        <w:rPr>
          <w:rFonts w:hint="default" w:ascii="UD デジタル 教科書体 NK-R" w:hAnsi="UD デジタル 教科書体 NK-R" w:eastAsia="UD デジタル 教科書体 NK-R"/>
          <w:spacing w:val="2"/>
          <w:kern w:val="0"/>
          <w:sz w:val="19"/>
        </w:rPr>
      </w:pPr>
      <w:r>
        <w:rPr>
          <w:rFonts w:hint="eastAsia" w:ascii="UD デジタル 教科書体 NK-R" w:hAnsi="UD デジタル 教科書体 NK-R" w:eastAsia="UD デジタル 教科書体 NK-R"/>
          <w:kern w:val="0"/>
        </w:rPr>
        <w:t>＊上記の表は基準であって、医師の証明があればこの限りではありません。</w:t>
      </w:r>
    </w:p>
    <w:p>
      <w:pPr>
        <w:pStyle w:val="0"/>
        <w:overflowPunct w:val="0"/>
        <w:spacing w:line="240" w:lineRule="exact"/>
        <w:ind w:left="204" w:hanging="204" w:hangingChars="100"/>
        <w:textAlignment w:val="baseline"/>
        <w:rPr>
          <w:rFonts w:hint="default" w:ascii="UD デジタル 教科書体 NK-R" w:hAnsi="UD デジタル 教科書体 NK-R" w:eastAsia="UD デジタル 教科書体 NK-R"/>
          <w:kern w:val="0"/>
        </w:rPr>
      </w:pPr>
      <w:r>
        <w:rPr>
          <w:rFonts w:hint="eastAsia" w:ascii="UD デジタル 教科書体 NK-R" w:hAnsi="UD デジタル 教科書体 NK-R" w:eastAsia="UD デジタル 教科書体 NK-R"/>
          <w:kern w:val="0"/>
        </w:rPr>
        <w:t>＊群馬県では、第３種「その他の感染症」については定めないとしています。</w:t>
      </w:r>
    </w:p>
    <w:p>
      <w:pPr>
        <w:pStyle w:val="0"/>
        <w:overflowPunct w:val="0"/>
        <w:spacing w:line="240" w:lineRule="exact"/>
        <w:ind w:left="204" w:leftChars="100"/>
        <w:textAlignment w:val="baseline"/>
        <w:rPr>
          <w:rFonts w:hint="default" w:ascii="UD デジタル 教科書体 NK-R" w:hAnsi="UD デジタル 教科書体 NK-R" w:eastAsia="UD デジタル 教科書体 NK-R"/>
          <w:spacing w:val="2"/>
          <w:kern w:val="0"/>
          <w:sz w:val="19"/>
        </w:rPr>
      </w:pPr>
      <w:r>
        <w:rPr>
          <w:rFonts w:hint="eastAsia" w:ascii="UD デジタル 教科書体 NK-R" w:hAnsi="UD デジタル 教科書体 NK-R" w:eastAsia="UD デジタル 教科書体 NK-R"/>
          <w:kern w:val="0"/>
        </w:rPr>
        <w:t>よって、手足口病や伝染性紅斑、溶連菌感染症等は出席停止扱いになりません。</w:t>
      </w:r>
    </w:p>
    <w:p>
      <w:pPr>
        <w:pStyle w:val="0"/>
        <w:overflowPunct w:val="0"/>
        <w:spacing w:line="240" w:lineRule="exact"/>
        <w:ind w:left="208" w:hanging="208" w:hangingChars="100"/>
        <w:textAlignment w:val="baseline"/>
        <w:rPr>
          <w:rFonts w:hint="default" w:ascii="UD デジタル 教科書体 NK-R" w:hAnsi="UD デジタル 教科書体 NK-R" w:eastAsia="UD デジタル 教科書体 NK-R"/>
          <w:spacing w:val="2"/>
          <w:kern w:val="0"/>
          <w:u w:val="wave" w:color="auto"/>
        </w:rPr>
      </w:pPr>
      <w:r>
        <w:rPr>
          <w:rFonts w:hint="eastAsia" w:ascii="UD デジタル 教科書体 NK-R" w:hAnsi="UD デジタル 教科書体 NK-R" w:eastAsia="UD デジタル 教科書体 NK-R"/>
          <w:spacing w:val="2"/>
          <w:kern w:val="0"/>
          <w:u w:val="wave" w:color="auto"/>
        </w:rPr>
        <w:t>※インフルエンザ、新型コロナウイルス感染症については、「療養報告書」を使用してください。</w:t>
      </w:r>
    </w:p>
    <w:p>
      <w:pPr>
        <w:pStyle w:val="0"/>
        <w:overflowPunct w:val="0"/>
        <w:spacing w:line="240" w:lineRule="exact"/>
        <w:ind w:left="184" w:hanging="184" w:hangingChars="100"/>
        <w:textAlignment w:val="baseline"/>
        <w:rPr>
          <w:rFonts w:hint="default" w:ascii="UD デジタル 教科書体 NK-R" w:hAnsi="UD デジタル 教科書体 NK-R" w:eastAsia="UD デジタル 教科書体 NK-R"/>
          <w:spacing w:val="2"/>
          <w:kern w:val="0"/>
          <w:sz w:val="19"/>
        </w:rPr>
      </w:pPr>
      <w:r>
        <w:rPr>
          <w:rFonts w:hint="default" w:ascii="UD デジタル 教科書体 NK-R" w:hAnsi="UD デジタル 教科書体 NK-R" w:eastAsia="UD デジタル 教科書体 NK-R"/>
          <w:spacing w:val="2"/>
          <w:kern w:val="0"/>
          <w:sz w:val="19"/>
        </w:rPr>
        <mc:AlternateContent>
          <mc:Choice Requires="wps">
            <w:drawing>
              <wp:anchor distT="0" distB="0" distL="114300" distR="114300" simplePos="0" relativeHeight="2" behindDoc="0" locked="0" layoutInCell="1" hidden="0" allowOverlap="1">
                <wp:simplePos x="0" y="0"/>
                <wp:positionH relativeFrom="column">
                  <wp:posOffset>-140335</wp:posOffset>
                </wp:positionH>
                <wp:positionV relativeFrom="paragraph">
                  <wp:posOffset>186055</wp:posOffset>
                </wp:positionV>
                <wp:extent cx="6734175" cy="9525"/>
                <wp:effectExtent l="635" t="635" r="29845" b="10795"/>
                <wp:wrapNone/>
                <wp:docPr id="1026" name="直線コネクタ 1"/>
                <a:graphic xmlns:a="http://schemas.openxmlformats.org/drawingml/2006/main">
                  <a:graphicData uri="http://schemas.microsoft.com/office/word/2010/wordprocessingShape">
                    <wps:wsp>
                      <wps:cNvPr id="1026" name="直線コネクタ 1"/>
                      <wps:cNvSpPr/>
                      <wps:spPr>
                        <a:xfrm>
                          <a:off x="0" y="0"/>
                          <a:ext cx="6734175" cy="952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コネクタ 1" style="mso-wrap-distance-top:0pt;mso-wrap-distance-right:9pt;mso-wrap-distance-bottom:0pt;mso-position-vertical-relative:text;mso-position-horizontal-relative:text;position:absolute;mso-wrap-distance-left:9pt;z-index:2;" o:spid="_x0000_s1026" o:allowincell="t" o:allowoverlap="t" filled="f" stroked="t" strokecolor="#000000 [3200]" strokeweight="0.5pt" o:spt="20" from="-11.05pt,14.65pt" to="519.20000000000005pt,15.4pt">
                <v:fill/>
                <v:stroke linestyle="single" miterlimit="8" endcap="flat" dashstyle="dash" filltype="solid"/>
                <v:textbox style="layout-flow:horizontal;"/>
                <v:imagedata o:title=""/>
                <w10:wrap type="none" anchorx="text" anchory="text"/>
              </v:line>
            </w:pict>
          </mc:Fallback>
        </mc:AlternateContent>
      </w:r>
      <w:r>
        <w:rPr>
          <w:rFonts w:hint="default" w:ascii="UD デジタル 教科書体 NK-R" w:hAnsi="UD デジタル 教科書体 NK-R" w:eastAsia="UD デジタル 教科書体 NK-R"/>
          <w:spacing w:val="2"/>
          <w:kern w:val="0"/>
          <w:sz w:val="19"/>
        </w:rPr>
        <mc:AlternateContent>
          <mc:Choice Requires="wps">
            <w:drawing>
              <wp:anchor distT="0" distB="0" distL="114300" distR="114300" simplePos="0" relativeHeight="3" behindDoc="0" locked="0" layoutInCell="1" hidden="0" allowOverlap="1">
                <wp:simplePos x="0" y="0"/>
                <wp:positionH relativeFrom="margin">
                  <wp:align>center</wp:align>
                </wp:positionH>
                <wp:positionV relativeFrom="paragraph">
                  <wp:posOffset>40640</wp:posOffset>
                </wp:positionV>
                <wp:extent cx="2286000" cy="285750"/>
                <wp:effectExtent l="0" t="0" r="635" b="635"/>
                <wp:wrapNone/>
                <wp:docPr id="1027" name="テキスト ボックス 2"/>
                <a:graphic xmlns:a="http://schemas.openxmlformats.org/drawingml/2006/main">
                  <a:graphicData uri="http://schemas.microsoft.com/office/word/2010/wordprocessingShape">
                    <wps:wsp>
                      <wps:cNvPr id="1027" name="テキスト ボックス 2"/>
                      <wps:cNvSpPr txBox="1"/>
                      <wps:spPr>
                        <a:xfrm>
                          <a:off x="0" y="0"/>
                          <a:ext cx="2286000" cy="285750"/>
                        </a:xfrm>
                        <a:prstGeom prst="rect">
                          <a:avLst/>
                        </a:prstGeom>
                        <a:solidFill>
                          <a:schemeClr val="lt1"/>
                        </a:solidFill>
                        <a:ln w="6350">
                          <a:noFill/>
                        </a:ln>
                      </wps:spPr>
                      <wps:txbx>
                        <w:txbxContent>
                          <w:p>
                            <w:pPr>
                              <w:pStyle w:val="0"/>
                              <w:jc w:val="distribute"/>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キリトリセン</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2" style="mso-wrap-distance-right:9pt;mso-wrap-distance-bottom:0pt;margin-top:3.2pt;mso-position-vertical-relative:text;mso-position-horizontal:center;mso-position-horizontal-relative:margin;v-text-anchor:top;position:absolute;height:22.5pt;mso-wrap-distance-top:0pt;width:180pt;mso-wrap-distance-left:9pt;z-index:3;" o:spid="_x0000_s1027" o:allowincell="t" o:allowoverlap="t" filled="t" fillcolor="#ffffff [3201]" stroked="f" strokeweight="0.5pt" o:spt="202" type="#_x0000_t202">
                <v:fill/>
                <v:textbox style="layout-flow:horizontal;">
                  <w:txbxContent>
                    <w:p>
                      <w:pPr>
                        <w:pStyle w:val="0"/>
                        <w:jc w:val="distribute"/>
                        <w:rPr>
                          <w:rFonts w:hint="default" w:ascii="UD デジタル 教科書体 NK-R" w:hAnsi="UD デジタル 教科書体 NK-R" w:eastAsia="UD デジタル 教科書体 NK-R"/>
                        </w:rPr>
                      </w:pPr>
                      <w:r>
                        <w:rPr>
                          <w:rFonts w:hint="eastAsia" w:ascii="UD デジタル 教科書体 NK-R" w:hAnsi="UD デジタル 教科書体 NK-R" w:eastAsia="UD デジタル 教科書体 NK-R"/>
                        </w:rPr>
                        <w:t>キリトリセン</w:t>
                      </w:r>
                    </w:p>
                  </w:txbxContent>
                </v:textbox>
                <v:imagedata o:title=""/>
                <w10:wrap type="none" anchorx="margin" anchory="text"/>
              </v:shape>
            </w:pict>
          </mc:Fallback>
        </mc:AlternateContent>
      </w:r>
    </w:p>
    <w:p>
      <w:pPr>
        <w:pStyle w:val="0"/>
        <w:overflowPunct w:val="0"/>
        <w:spacing w:line="240" w:lineRule="exact"/>
        <w:ind w:left="188" w:hanging="188" w:hangingChars="100"/>
        <w:textAlignment w:val="baseline"/>
        <w:rPr>
          <w:rFonts w:hint="default" w:ascii="UD デジタル 教科書体 NK-R" w:hAnsi="UD デジタル 教科書体 NK-R" w:eastAsia="UD デジタル 教科書体 NK-R"/>
          <w:spacing w:val="2"/>
          <w:kern w:val="0"/>
          <w:sz w:val="19"/>
        </w:rPr>
      </w:pPr>
    </w:p>
    <w:p>
      <w:pPr>
        <w:pStyle w:val="0"/>
        <w:overflowPunct w:val="0"/>
        <w:jc w:val="center"/>
        <w:textAlignment w:val="baseline"/>
        <w:rPr>
          <w:rFonts w:hint="default" w:ascii="UD デジタル 教科書体 N-B" w:hAnsi="UD デジタル 教科書体 N-B" w:eastAsia="UD デジタル 教科書体 N-B"/>
          <w:spacing w:val="2"/>
          <w:kern w:val="0"/>
          <w:sz w:val="19"/>
        </w:rPr>
      </w:pPr>
      <w:r>
        <w:rPr>
          <w:rFonts w:hint="eastAsia" w:ascii="UD デジタル 教科書体 N-B" w:hAnsi="UD デジタル 教科書体 N-B" w:eastAsia="UD デジタル 教科書体 N-B"/>
          <w:spacing w:val="2"/>
          <w:kern w:val="0"/>
          <w:sz w:val="30"/>
        </w:rPr>
        <w:t>治　　癒　　証　　明　　書</w:t>
      </w:r>
    </w:p>
    <w:p>
      <w:pPr>
        <w:pStyle w:val="0"/>
        <w:overflowPunct w:val="0"/>
        <w:jc w:val="left"/>
        <w:textAlignment w:val="baseline"/>
        <w:rPr>
          <w:rFonts w:hint="default" w:ascii="UD デジタル 教科書体 NK-R" w:hAnsi="UD デジタル 教科書体 NK-R" w:eastAsia="UD デジタル 教科書体 NK-R"/>
          <w:spacing w:val="2"/>
          <w:kern w:val="0"/>
          <w:sz w:val="19"/>
        </w:rPr>
      </w:pPr>
      <w:r>
        <w:rPr>
          <w:rFonts w:hint="eastAsia" w:ascii="UD デジタル 教科書体 NK-R" w:hAnsi="UD デジタル 教科書体 NK-R" w:eastAsia="UD デジタル 教科書体 NK-R"/>
          <w:kern w:val="0"/>
          <w:sz w:val="19"/>
        </w:rPr>
        <w:t>　</w:t>
      </w:r>
      <w:r>
        <w:rPr>
          <w:rFonts w:hint="eastAsia" w:ascii="UD デジタル 教科書体 NK-R" w:hAnsi="UD デジタル 教科書体 NK-R" w:eastAsia="UD デジタル 教科書体 NK-R"/>
          <w:kern w:val="0"/>
          <w:sz w:val="22"/>
          <w:u w:val="single" w:color="000000"/>
        </w:rPr>
        <w:t>氏名　　　　　　　　　　　　　　　　　　　　　　　　　　　　　</w:t>
      </w:r>
      <w:r>
        <w:rPr>
          <w:rFonts w:hint="eastAsia" w:ascii="UD デジタル 教科書体 NK-R" w:hAnsi="UD デジタル 教科書体 NK-R" w:eastAsia="UD デジタル 教科書体 NK-R"/>
          <w:kern w:val="0"/>
          <w:sz w:val="22"/>
        </w:rPr>
        <w:t>　　　　　　　</w:t>
      </w:r>
      <w:r>
        <w:rPr>
          <w:rFonts w:hint="eastAsia" w:ascii="UD デジタル 教科書体 NK-R" w:hAnsi="UD デジタル 教科書体 NK-R" w:eastAsia="UD デジタル 教科書体 NK-R"/>
          <w:kern w:val="0"/>
          <w:sz w:val="22"/>
          <w:u w:val="single" w:color="000000"/>
        </w:rPr>
        <w:t>所・園・校　　</w:t>
      </w:r>
      <w:r>
        <w:rPr>
          <w:rFonts w:hint="eastAsia" w:ascii="UD デジタル 教科書体 NK-R" w:hAnsi="UD デジタル 教科書体 NK-R" w:eastAsia="UD デジタル 教科書体 NK-R"/>
          <w:kern w:val="0"/>
          <w:sz w:val="22"/>
          <w:u w:val="single" w:color="auto"/>
        </w:rPr>
        <w:t>名</w:t>
      </w:r>
      <w:r>
        <w:rPr>
          <w:rFonts w:hint="eastAsia" w:ascii="UD デジタル 教科書体 NK-R" w:hAnsi="UD デジタル 教科書体 NK-R" w:eastAsia="UD デジタル 教科書体 NK-R"/>
          <w:kern w:val="0"/>
          <w:sz w:val="22"/>
          <w:u w:val="single" w:color="auto"/>
        </w:rPr>
        <w:t xml:space="preserve"> </w:t>
      </w:r>
      <w:r>
        <w:rPr>
          <w:rFonts w:hint="eastAsia" w:ascii="UD デジタル 教科書体 NK-R" w:hAnsi="UD デジタル 教科書体 NK-R" w:eastAsia="UD デジタル 教科書体 NK-R"/>
          <w:kern w:val="0"/>
          <w:sz w:val="22"/>
          <w:u w:val="single" w:color="000000"/>
        </w:rPr>
        <w:t>　　　　　　　　　　　　　　　　　　　　　　（年）　　　　　　　　　組　</w:t>
      </w:r>
    </w:p>
    <w:p>
      <w:pPr>
        <w:pStyle w:val="0"/>
        <w:overflowPunct w:val="0"/>
        <w:spacing w:line="360" w:lineRule="exact"/>
        <w:textAlignment w:val="baseline"/>
        <w:rPr>
          <w:rFonts w:hint="default" w:ascii="UD デジタル 教科書体 NK-R" w:hAnsi="UD デジタル 教科書体 NK-R" w:eastAsia="UD デジタル 教科書体 NK-R"/>
          <w:kern w:val="0"/>
          <w:sz w:val="24"/>
        </w:rPr>
      </w:pPr>
      <w:r>
        <w:rPr>
          <w:rFonts w:hint="eastAsia" w:ascii="UD デジタル 教科書体 NK-R" w:hAnsi="UD デジタル 教科書体 NK-R" w:eastAsia="UD デジタル 教科書体 NK-R"/>
          <w:kern w:val="0"/>
        </w:rPr>
        <w:t>　　</w:t>
      </w:r>
      <w:r>
        <w:rPr>
          <w:rFonts w:hint="eastAsia" w:ascii="UD デジタル 教科書体 NK-R" w:hAnsi="UD デジタル 教科書体 NK-R" w:eastAsia="UD デジタル 教科書体 NK-R"/>
          <w:kern w:val="0"/>
          <w:sz w:val="24"/>
        </w:rPr>
        <w:t>学校感染症（　　　　　　　　　　　　　　　　　　　　　　　　　　　　　　　　　）が治癒したので　</w:t>
      </w:r>
    </w:p>
    <w:p>
      <w:pPr>
        <w:pStyle w:val="0"/>
        <w:overflowPunct w:val="0"/>
        <w:spacing w:line="360" w:lineRule="exact"/>
        <w:ind w:firstLine="2809" w:firstLineChars="1200"/>
        <w:textAlignment w:val="baseline"/>
        <w:rPr>
          <w:rFonts w:hint="default" w:ascii="UD デジタル 教科書体 NK-R" w:hAnsi="UD デジタル 教科書体 NK-R" w:eastAsia="UD デジタル 教科書体 NK-R"/>
          <w:kern w:val="0"/>
          <w:sz w:val="24"/>
        </w:rPr>
      </w:pPr>
      <w:r>
        <w:rPr>
          <w:rFonts w:hint="eastAsia" w:ascii="UD デジタル 教科書体 NK-R" w:hAnsi="UD デジタル 教科書体 NK-R" w:eastAsia="UD デジタル 教科書体 NK-R"/>
          <w:kern w:val="0"/>
          <w:sz w:val="24"/>
          <w:u w:val="single" w:color="000000"/>
        </w:rPr>
        <w:t>　令和　　　　　　年　　　　　　月　　　　　　日　</w:t>
      </w:r>
      <w:r>
        <w:rPr>
          <w:rFonts w:hint="eastAsia" w:ascii="UD デジタル 教科書体 NK-R" w:hAnsi="UD デジタル 教科書体 NK-R" w:eastAsia="UD デジタル 教科書体 NK-R"/>
          <w:kern w:val="0"/>
          <w:sz w:val="24"/>
        </w:rPr>
        <w:t>　より登園可能と認めます。</w:t>
      </w:r>
    </w:p>
    <w:p>
      <w:pPr>
        <w:pStyle w:val="0"/>
        <w:overflowPunct w:val="0"/>
        <w:jc w:val="left"/>
        <w:textAlignment w:val="baseline"/>
        <w:rPr>
          <w:rFonts w:hint="default" w:ascii="ＭＳ 明朝" w:hAnsi="ＭＳ 明朝" w:eastAsia="ＭＳ 明朝"/>
          <w:kern w:val="0"/>
        </w:rPr>
      </w:pPr>
    </w:p>
    <w:p>
      <w:pPr>
        <w:pStyle w:val="0"/>
        <w:overflowPunct w:val="0"/>
        <w:spacing w:line="276" w:lineRule="auto"/>
        <w:jc w:val="left"/>
        <w:textAlignment w:val="baseline"/>
        <w:rPr>
          <w:rFonts w:hint="default" w:ascii="UD デジタル 教科書体 NK-R" w:hAnsi="UD デジタル 教科書体 NK-R" w:eastAsia="UD デジタル 教科書体 NK-R"/>
          <w:color w:val="000000"/>
          <w:kern w:val="0"/>
          <w:sz w:val="22"/>
        </w:rPr>
      </w:pPr>
      <w:r>
        <w:rPr>
          <w:rFonts w:hint="eastAsia" w:ascii="ＭＳ 明朝" w:hAnsi="ＭＳ 明朝" w:eastAsia="ＭＳ 明朝"/>
          <w:color w:val="000000"/>
          <w:kern w:val="0"/>
        </w:rPr>
        <w:t>　　　　　　　　　　　　　　　　　　　　　　</w:t>
      </w:r>
      <w:r>
        <w:rPr>
          <w:rFonts w:hint="eastAsia" w:ascii="ＭＳ 明朝" w:hAnsi="ＭＳ 明朝" w:eastAsia="ＭＳ 明朝"/>
          <w:color w:val="000000"/>
          <w:kern w:val="0"/>
          <w:sz w:val="22"/>
        </w:rPr>
        <w:t>　</w:t>
      </w:r>
      <w:r>
        <w:rPr>
          <w:rFonts w:hint="eastAsia" w:ascii="UD デジタル 教科書体 NK-R" w:hAnsi="UD デジタル 教科書体 NK-R" w:eastAsia="UD デジタル 教科書体 NK-R"/>
          <w:color w:val="000000"/>
          <w:kern w:val="0"/>
          <w:sz w:val="22"/>
        </w:rPr>
        <w:t>令和　　　　　年　　　　　月　　　　　日</w:t>
      </w:r>
    </w:p>
    <w:p>
      <w:pPr>
        <w:pStyle w:val="0"/>
        <w:overflowPunct w:val="0"/>
        <w:spacing w:line="276" w:lineRule="auto"/>
        <w:ind w:firstLine="4710" w:firstLineChars="2200"/>
        <w:jc w:val="left"/>
        <w:textAlignment w:val="baseline"/>
        <w:rPr>
          <w:rFonts w:hint="default" w:ascii="UD デジタル 教科書体 NK-R" w:hAnsi="UD デジタル 教科書体 NK-R" w:eastAsia="UD デジタル 教科書体 NK-R"/>
          <w:color w:val="000000"/>
          <w:spacing w:val="2"/>
          <w:kern w:val="0"/>
          <w:sz w:val="20"/>
        </w:rPr>
      </w:pPr>
      <w:r>
        <w:rPr>
          <w:rFonts w:hint="eastAsia" w:ascii="UD デジタル 教科書体 NK-R" w:hAnsi="UD デジタル 教科書体 NK-R" w:eastAsia="UD デジタル 教科書体 NK-R"/>
          <w:color w:val="000000"/>
          <w:kern w:val="0"/>
          <w:sz w:val="22"/>
        </w:rPr>
        <w:t>医療機関名</w:t>
      </w:r>
    </w:p>
    <w:p>
      <w:pPr>
        <w:pStyle w:val="0"/>
        <w:overflowPunct w:val="0"/>
        <w:spacing w:line="276" w:lineRule="auto"/>
        <w:ind w:firstLine="4710" w:firstLineChars="2200"/>
        <w:textAlignment w:val="baseline"/>
        <w:rPr>
          <w:rFonts w:hint="default" w:ascii="UD デジタル 教科書体 NK-R" w:hAnsi="UD デジタル 教科書体 NK-R" w:eastAsia="UD デジタル 教科書体 NK-R"/>
          <w:color w:val="000000"/>
          <w:kern w:val="0"/>
          <w:sz w:val="20"/>
        </w:rPr>
      </w:pPr>
      <w:r>
        <w:rPr>
          <w:rFonts w:hint="eastAsia" w:ascii="UD デジタル 教科書体 NK-R" w:hAnsi="UD デジタル 教科書体 NK-R" w:eastAsia="UD デジタル 教科書体 NK-R"/>
          <w:color w:val="000000"/>
          <w:kern w:val="0"/>
          <w:sz w:val="22"/>
        </w:rPr>
        <w:t>医　　師　　名</w:t>
      </w:r>
      <w:r>
        <w:rPr>
          <w:rFonts w:hint="eastAsia" w:ascii="UD デジタル 教科書体 NK-R" w:hAnsi="UD デジタル 教科書体 NK-R" w:eastAsia="UD デジタル 教科書体 NK-R"/>
          <w:color w:val="000000"/>
          <w:kern w:val="0"/>
          <w:sz w:val="20"/>
        </w:rPr>
        <w:t>　</w:t>
      </w:r>
    </w:p>
    <w:sectPr>
      <w:pgSz w:w="11906" w:h="16838"/>
      <w:pgMar w:top="567" w:right="851" w:bottom="567" w:left="851" w:header="851" w:footer="992" w:gutter="0"/>
      <w:cols w:space="720"/>
      <w:textDirection w:val="lrTb"/>
      <w:docGrid w:type="linesAndChars" w:linePitch="334" w:charSpace="-121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UD デジタル 教科書体 NK-R">
    <w:panose1 w:val="00000000000000000000"/>
    <w:charset w:val="80"/>
    <w:family w:val="roma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2"/>
  <w:drawingGridVerticalSpacing w:val="16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name w:val="Table Grid"/>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TotalTime>
  <Pages>1</Pages>
  <Words>0</Words>
  <Characters>1163</Characters>
  <Application>JUST Note</Application>
  <Lines>291</Lines>
  <Paragraphs>48</Paragraphs>
  <Company>
  </Company>
  <CharactersWithSpaces>1494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dc:title>
  <dc:subject>
  </dc:subject>
  <dc:creator>
  </dc:creator>
  <cp:keywords>
  </cp:keywords>
  <dc:description>_x000d_
  </dc:description>
  <cp:lastModifiedBy>学校教育課 020</cp:lastModifiedBy>
  <cp:lastPrinted>2023-06-21T10:15:00Z</cp:lastPrinted>
  <dcterms:created xsi:type="dcterms:W3CDTF">2023-06-21T09:55:00Z</dcterms:created>
  <dcterms:modified xsi:type="dcterms:W3CDTF">2024-05-07T04:52:50Z</dcterms:modified>
  <cp:revision>12</cp:revision>
</cp:coreProperties>
</file>